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96" w:rsidRPr="00742FF7" w:rsidRDefault="00562B50" w:rsidP="00742FF7">
      <w:pPr>
        <w:jc w:val="center"/>
        <w:rPr>
          <w:rFonts w:ascii="Arial" w:hAnsi="Arial" w:cs="Arial"/>
          <w:b/>
          <w:sz w:val="32"/>
          <w:szCs w:val="32"/>
          <w:u w:val="single"/>
        </w:rPr>
      </w:pPr>
      <w:r>
        <w:rPr>
          <w:rFonts w:ascii="Arial" w:hAnsi="Arial" w:cs="Arial"/>
          <w:b/>
          <w:sz w:val="32"/>
          <w:szCs w:val="32"/>
          <w:u w:val="single"/>
        </w:rPr>
        <w:t>OCR</w:t>
      </w:r>
      <w:r w:rsidR="001631A7">
        <w:rPr>
          <w:rFonts w:ascii="Arial" w:hAnsi="Arial" w:cs="Arial"/>
          <w:b/>
          <w:sz w:val="32"/>
          <w:szCs w:val="32"/>
          <w:u w:val="single"/>
        </w:rPr>
        <w:t xml:space="preserve"> LEVEL 3</w:t>
      </w:r>
      <w:r>
        <w:rPr>
          <w:rFonts w:ascii="Arial" w:hAnsi="Arial" w:cs="Arial"/>
          <w:b/>
          <w:sz w:val="32"/>
          <w:szCs w:val="32"/>
          <w:u w:val="single"/>
        </w:rPr>
        <w:t xml:space="preserve"> CAMBRIDGE TECHNICAL </w:t>
      </w:r>
      <w:r w:rsidR="00742FF7" w:rsidRPr="00742FF7">
        <w:rPr>
          <w:rFonts w:ascii="Arial" w:hAnsi="Arial" w:cs="Arial"/>
          <w:b/>
          <w:sz w:val="32"/>
          <w:szCs w:val="32"/>
          <w:u w:val="single"/>
        </w:rPr>
        <w:t xml:space="preserve">EXTENDED DIPLOMA IN HEALTH AND SOCIAL CARE </w:t>
      </w:r>
    </w:p>
    <w:p w:rsidR="00742FF7" w:rsidRDefault="00742FF7">
      <w:pPr>
        <w:rPr>
          <w:rFonts w:ascii="Arial" w:hAnsi="Arial" w:cs="Arial"/>
        </w:rPr>
      </w:pPr>
    </w:p>
    <w:p w:rsidR="00562B50" w:rsidRDefault="001631A7">
      <w:pPr>
        <w:rPr>
          <w:rFonts w:ascii="Arial" w:hAnsi="Arial" w:cs="Arial"/>
        </w:rPr>
      </w:pPr>
      <w:r>
        <w:rPr>
          <w:rFonts w:ascii="Arial" w:hAnsi="Arial" w:cs="Arial"/>
        </w:rPr>
        <w:t>There are</w:t>
      </w:r>
      <w:r w:rsidR="00562B50">
        <w:rPr>
          <w:rFonts w:ascii="Arial" w:hAnsi="Arial" w:cs="Arial"/>
        </w:rPr>
        <w:t xml:space="preserve"> a mixture of mandatory and optional units. Over the course of 2 years, you will study 17 or 18 units. There are 6 external exams which will be spread out over the course. </w:t>
      </w:r>
    </w:p>
    <w:p w:rsidR="00562B50" w:rsidRDefault="00562B50">
      <w:pPr>
        <w:rPr>
          <w:rFonts w:ascii="Arial" w:hAnsi="Arial" w:cs="Arial"/>
        </w:rPr>
      </w:pPr>
    </w:p>
    <w:p w:rsidR="00562B50" w:rsidRDefault="00562B50">
      <w:pPr>
        <w:rPr>
          <w:rFonts w:ascii="Arial" w:hAnsi="Arial" w:cs="Arial"/>
        </w:rPr>
      </w:pPr>
      <w:r>
        <w:rPr>
          <w:rFonts w:ascii="Arial" w:hAnsi="Arial" w:cs="Arial"/>
        </w:rPr>
        <w:t>The mandatory units are:</w:t>
      </w:r>
    </w:p>
    <w:p w:rsidR="00742FF7" w:rsidRDefault="00742FF7">
      <w:pPr>
        <w:rPr>
          <w:rFonts w:ascii="Arial" w:hAnsi="Arial" w:cs="Arial"/>
        </w:rPr>
      </w:pPr>
    </w:p>
    <w:tbl>
      <w:tblPr>
        <w:tblStyle w:val="TableGrid"/>
        <w:tblW w:w="9498" w:type="dxa"/>
        <w:tblInd w:w="-572" w:type="dxa"/>
        <w:tblLook w:val="04A0" w:firstRow="1" w:lastRow="0" w:firstColumn="1" w:lastColumn="0" w:noHBand="0" w:noVBand="1"/>
      </w:tblPr>
      <w:tblGrid>
        <w:gridCol w:w="6946"/>
        <w:gridCol w:w="2552"/>
      </w:tblGrid>
      <w:tr w:rsidR="00742FF7" w:rsidTr="001631A7">
        <w:tc>
          <w:tcPr>
            <w:tcW w:w="6946" w:type="dxa"/>
          </w:tcPr>
          <w:p w:rsidR="00742FF7" w:rsidRPr="00742FF7" w:rsidRDefault="00742FF7" w:rsidP="00742FF7">
            <w:pPr>
              <w:jc w:val="center"/>
              <w:rPr>
                <w:rFonts w:ascii="Arial" w:hAnsi="Arial" w:cs="Arial"/>
                <w:b/>
              </w:rPr>
            </w:pPr>
            <w:r w:rsidRPr="00742FF7">
              <w:rPr>
                <w:rFonts w:ascii="Arial" w:hAnsi="Arial" w:cs="Arial"/>
                <w:b/>
              </w:rPr>
              <w:t>Unit</w:t>
            </w:r>
          </w:p>
        </w:tc>
        <w:tc>
          <w:tcPr>
            <w:tcW w:w="2552" w:type="dxa"/>
          </w:tcPr>
          <w:p w:rsidR="00742FF7" w:rsidRPr="00742FF7" w:rsidRDefault="00742FF7" w:rsidP="00742FF7">
            <w:pPr>
              <w:jc w:val="center"/>
              <w:rPr>
                <w:rFonts w:ascii="Arial" w:hAnsi="Arial" w:cs="Arial"/>
                <w:b/>
              </w:rPr>
            </w:pPr>
            <w:r w:rsidRPr="00742FF7">
              <w:rPr>
                <w:rFonts w:ascii="Arial" w:hAnsi="Arial" w:cs="Arial"/>
                <w:b/>
              </w:rPr>
              <w:t>How am I assessed?</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1: </w:t>
            </w:r>
            <w:r w:rsidRPr="001631A7">
              <w:rPr>
                <w:rFonts w:ascii="Arial" w:hAnsi="Arial" w:cs="Arial"/>
              </w:rPr>
              <w:t>Building positive relationships in health and social care</w:t>
            </w:r>
            <w:bookmarkStart w:id="0" w:name="_GoBack"/>
            <w:bookmarkEnd w:id="0"/>
          </w:p>
        </w:tc>
        <w:tc>
          <w:tcPr>
            <w:tcW w:w="2552" w:type="dxa"/>
          </w:tcPr>
          <w:p w:rsidR="00742FF7" w:rsidRDefault="001631A7" w:rsidP="00742FF7">
            <w:pPr>
              <w:jc w:val="center"/>
              <w:rPr>
                <w:rFonts w:ascii="Arial" w:hAnsi="Arial" w:cs="Arial"/>
              </w:rPr>
            </w:pPr>
            <w:r>
              <w:rPr>
                <w:rFonts w:ascii="Arial" w:hAnsi="Arial" w:cs="Arial"/>
              </w:rPr>
              <w:t>Internal assessment</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2: </w:t>
            </w:r>
            <w:r w:rsidRPr="001631A7">
              <w:rPr>
                <w:rFonts w:ascii="Arial" w:hAnsi="Arial" w:cs="Arial"/>
              </w:rPr>
              <w:t>Equality, diversity and rights in health and social care</w:t>
            </w:r>
          </w:p>
        </w:tc>
        <w:tc>
          <w:tcPr>
            <w:tcW w:w="2552" w:type="dxa"/>
          </w:tcPr>
          <w:p w:rsidR="00742FF7" w:rsidRDefault="00742FF7" w:rsidP="00742FF7">
            <w:pPr>
              <w:jc w:val="center"/>
              <w:rPr>
                <w:rFonts w:ascii="Arial" w:hAnsi="Arial" w:cs="Arial"/>
              </w:rPr>
            </w:pPr>
            <w:r>
              <w:rPr>
                <w:rFonts w:ascii="Arial" w:hAnsi="Arial" w:cs="Arial"/>
              </w:rPr>
              <w:t>External exam</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3: </w:t>
            </w:r>
            <w:r w:rsidRPr="001631A7">
              <w:rPr>
                <w:rFonts w:ascii="Arial" w:hAnsi="Arial" w:cs="Arial"/>
              </w:rPr>
              <w:t>Health, safety and security in health and social care</w:t>
            </w:r>
          </w:p>
        </w:tc>
        <w:tc>
          <w:tcPr>
            <w:tcW w:w="2552" w:type="dxa"/>
          </w:tcPr>
          <w:p w:rsidR="00742FF7" w:rsidRDefault="00742FF7" w:rsidP="00742FF7">
            <w:pPr>
              <w:jc w:val="center"/>
              <w:rPr>
                <w:rFonts w:ascii="Arial" w:hAnsi="Arial" w:cs="Arial"/>
              </w:rPr>
            </w:pPr>
            <w:r>
              <w:rPr>
                <w:rFonts w:ascii="Arial" w:hAnsi="Arial" w:cs="Arial"/>
              </w:rPr>
              <w:t>External exam</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4: </w:t>
            </w:r>
            <w:r w:rsidRPr="001631A7">
              <w:rPr>
                <w:rFonts w:ascii="Arial" w:hAnsi="Arial" w:cs="Arial"/>
              </w:rPr>
              <w:t>Anatomy and physiology for health and social care</w:t>
            </w:r>
          </w:p>
        </w:tc>
        <w:tc>
          <w:tcPr>
            <w:tcW w:w="2552" w:type="dxa"/>
          </w:tcPr>
          <w:p w:rsidR="00742FF7" w:rsidRDefault="00742FF7" w:rsidP="00742FF7">
            <w:pPr>
              <w:jc w:val="center"/>
              <w:rPr>
                <w:rFonts w:ascii="Arial" w:hAnsi="Arial" w:cs="Arial"/>
              </w:rPr>
            </w:pPr>
            <w:r>
              <w:rPr>
                <w:rFonts w:ascii="Arial" w:hAnsi="Arial" w:cs="Arial"/>
              </w:rPr>
              <w:t>External exam</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5: </w:t>
            </w:r>
            <w:r w:rsidRPr="001631A7">
              <w:rPr>
                <w:rFonts w:ascii="Arial" w:hAnsi="Arial" w:cs="Arial"/>
              </w:rPr>
              <w:t>Infection control</w:t>
            </w:r>
          </w:p>
        </w:tc>
        <w:tc>
          <w:tcPr>
            <w:tcW w:w="2552" w:type="dxa"/>
          </w:tcPr>
          <w:p w:rsidR="00742FF7" w:rsidRDefault="001631A7" w:rsidP="00742FF7">
            <w:pPr>
              <w:jc w:val="center"/>
              <w:rPr>
                <w:rFonts w:ascii="Arial" w:hAnsi="Arial" w:cs="Arial"/>
              </w:rPr>
            </w:pPr>
            <w:r>
              <w:rPr>
                <w:rFonts w:ascii="Arial" w:hAnsi="Arial" w:cs="Arial"/>
              </w:rPr>
              <w:t>Internal assessment</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6: </w:t>
            </w:r>
            <w:r w:rsidRPr="001631A7">
              <w:rPr>
                <w:rFonts w:ascii="Arial" w:hAnsi="Arial" w:cs="Arial"/>
              </w:rPr>
              <w:t>Personalisation and a person</w:t>
            </w:r>
            <w:r w:rsidRPr="001631A7">
              <w:rPr>
                <w:rFonts w:ascii="Arial" w:hAnsi="Arial" w:cs="Arial"/>
              </w:rPr>
              <w:t>-</w:t>
            </w:r>
            <w:r w:rsidRPr="001631A7">
              <w:rPr>
                <w:rFonts w:ascii="Arial" w:hAnsi="Arial" w:cs="Arial"/>
              </w:rPr>
              <w:t>centred approach to care</w:t>
            </w:r>
          </w:p>
        </w:tc>
        <w:tc>
          <w:tcPr>
            <w:tcW w:w="2552" w:type="dxa"/>
          </w:tcPr>
          <w:p w:rsidR="00742FF7" w:rsidRDefault="001631A7" w:rsidP="00742FF7">
            <w:pPr>
              <w:jc w:val="center"/>
              <w:rPr>
                <w:rFonts w:ascii="Arial" w:hAnsi="Arial" w:cs="Arial"/>
              </w:rPr>
            </w:pPr>
            <w:r>
              <w:rPr>
                <w:rFonts w:ascii="Arial" w:hAnsi="Arial" w:cs="Arial"/>
              </w:rPr>
              <w:t>External exam</w:t>
            </w:r>
          </w:p>
        </w:tc>
      </w:tr>
      <w:tr w:rsidR="00742FF7" w:rsidTr="001631A7">
        <w:tc>
          <w:tcPr>
            <w:tcW w:w="6946" w:type="dxa"/>
          </w:tcPr>
          <w:p w:rsidR="00742FF7" w:rsidRDefault="001631A7" w:rsidP="001631A7">
            <w:pPr>
              <w:rPr>
                <w:rFonts w:ascii="Arial" w:hAnsi="Arial" w:cs="Arial"/>
              </w:rPr>
            </w:pPr>
            <w:r>
              <w:rPr>
                <w:rFonts w:ascii="Arial" w:hAnsi="Arial" w:cs="Arial"/>
              </w:rPr>
              <w:t xml:space="preserve">Unit 7: </w:t>
            </w:r>
            <w:r w:rsidRPr="001631A7">
              <w:rPr>
                <w:rFonts w:ascii="Arial" w:hAnsi="Arial" w:cs="Arial"/>
              </w:rPr>
              <w:t>Safeguarding</w:t>
            </w:r>
          </w:p>
        </w:tc>
        <w:tc>
          <w:tcPr>
            <w:tcW w:w="2552" w:type="dxa"/>
          </w:tcPr>
          <w:p w:rsidR="00742FF7" w:rsidRDefault="001631A7" w:rsidP="00742FF7">
            <w:pPr>
              <w:jc w:val="center"/>
              <w:rPr>
                <w:rFonts w:ascii="Arial" w:hAnsi="Arial" w:cs="Arial"/>
              </w:rPr>
            </w:pPr>
            <w:r>
              <w:rPr>
                <w:rFonts w:ascii="Arial" w:hAnsi="Arial" w:cs="Arial"/>
              </w:rPr>
              <w:t>External exam</w:t>
            </w:r>
          </w:p>
        </w:tc>
      </w:tr>
      <w:tr w:rsidR="00742FF7" w:rsidTr="001631A7">
        <w:tc>
          <w:tcPr>
            <w:tcW w:w="6946" w:type="dxa"/>
          </w:tcPr>
          <w:p w:rsidR="00742FF7" w:rsidRDefault="001631A7" w:rsidP="001631A7">
            <w:pPr>
              <w:tabs>
                <w:tab w:val="left" w:pos="2790"/>
              </w:tabs>
              <w:rPr>
                <w:rFonts w:ascii="Arial" w:hAnsi="Arial" w:cs="Arial"/>
              </w:rPr>
            </w:pPr>
            <w:r>
              <w:rPr>
                <w:rFonts w:ascii="Arial" w:hAnsi="Arial" w:cs="Arial"/>
              </w:rPr>
              <w:t xml:space="preserve">Unit 12: </w:t>
            </w:r>
            <w:r w:rsidRPr="001631A7">
              <w:rPr>
                <w:rFonts w:ascii="Arial" w:hAnsi="Arial" w:cs="Arial"/>
              </w:rPr>
              <w:t>Promote positive behaviour</w:t>
            </w:r>
          </w:p>
        </w:tc>
        <w:tc>
          <w:tcPr>
            <w:tcW w:w="2552" w:type="dxa"/>
          </w:tcPr>
          <w:p w:rsidR="00742FF7" w:rsidRDefault="001631A7" w:rsidP="00742FF7">
            <w:pPr>
              <w:jc w:val="center"/>
              <w:rPr>
                <w:rFonts w:ascii="Arial" w:hAnsi="Arial" w:cs="Arial"/>
              </w:rPr>
            </w:pPr>
            <w:r>
              <w:rPr>
                <w:rFonts w:ascii="Arial" w:hAnsi="Arial" w:cs="Arial"/>
              </w:rPr>
              <w:t>Internal assessment</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14: </w:t>
            </w:r>
            <w:r w:rsidRPr="001631A7">
              <w:rPr>
                <w:rFonts w:ascii="Arial" w:hAnsi="Arial" w:cs="Arial"/>
              </w:rPr>
              <w:t>The impact of long-term physiological conditions</w:t>
            </w:r>
          </w:p>
        </w:tc>
        <w:tc>
          <w:tcPr>
            <w:tcW w:w="2552" w:type="dxa"/>
          </w:tcPr>
          <w:p w:rsidR="00742FF7" w:rsidRDefault="001631A7" w:rsidP="00742FF7">
            <w:pPr>
              <w:jc w:val="center"/>
              <w:rPr>
                <w:rFonts w:ascii="Arial" w:hAnsi="Arial" w:cs="Arial"/>
              </w:rPr>
            </w:pPr>
            <w:r>
              <w:rPr>
                <w:rFonts w:ascii="Arial" w:hAnsi="Arial" w:cs="Arial"/>
              </w:rPr>
              <w:t>Internal assessment</w:t>
            </w:r>
          </w:p>
        </w:tc>
      </w:tr>
      <w:tr w:rsidR="00742FF7" w:rsidTr="001631A7">
        <w:tc>
          <w:tcPr>
            <w:tcW w:w="6946" w:type="dxa"/>
          </w:tcPr>
          <w:p w:rsidR="00742FF7" w:rsidRDefault="001631A7" w:rsidP="001631A7">
            <w:pPr>
              <w:rPr>
                <w:rFonts w:ascii="Arial" w:hAnsi="Arial" w:cs="Arial"/>
              </w:rPr>
            </w:pPr>
            <w:r w:rsidRPr="001631A7">
              <w:rPr>
                <w:rFonts w:ascii="Arial" w:hAnsi="Arial" w:cs="Arial"/>
              </w:rPr>
              <w:t xml:space="preserve">Unit 25: </w:t>
            </w:r>
            <w:r w:rsidRPr="001631A7">
              <w:rPr>
                <w:rFonts w:ascii="Arial" w:hAnsi="Arial" w:cs="Arial"/>
              </w:rPr>
              <w:t>Research methods in health, social care and childcare</w:t>
            </w:r>
          </w:p>
        </w:tc>
        <w:tc>
          <w:tcPr>
            <w:tcW w:w="2552" w:type="dxa"/>
          </w:tcPr>
          <w:p w:rsidR="00742FF7" w:rsidRDefault="001631A7" w:rsidP="00742FF7">
            <w:pPr>
              <w:jc w:val="center"/>
              <w:rPr>
                <w:rFonts w:ascii="Arial" w:hAnsi="Arial" w:cs="Arial"/>
              </w:rPr>
            </w:pPr>
            <w:r>
              <w:rPr>
                <w:rFonts w:ascii="Arial" w:hAnsi="Arial" w:cs="Arial"/>
              </w:rPr>
              <w:t>External exam</w:t>
            </w:r>
          </w:p>
        </w:tc>
      </w:tr>
    </w:tbl>
    <w:p w:rsidR="002C6F8D" w:rsidRDefault="002C6F8D">
      <w:pPr>
        <w:rPr>
          <w:rFonts w:ascii="Arial" w:hAnsi="Arial" w:cs="Arial"/>
        </w:rPr>
      </w:pPr>
    </w:p>
    <w:p w:rsidR="002C6F8D" w:rsidRPr="002C6F8D" w:rsidRDefault="002C6F8D" w:rsidP="002C6F8D">
      <w:pPr>
        <w:rPr>
          <w:rFonts w:ascii="Arial" w:hAnsi="Arial" w:cs="Arial"/>
        </w:rPr>
      </w:pPr>
    </w:p>
    <w:p w:rsidR="002C6F8D" w:rsidRDefault="002C6F8D" w:rsidP="002C6F8D">
      <w:pPr>
        <w:rPr>
          <w:rFonts w:ascii="Arial" w:hAnsi="Arial" w:cs="Arial"/>
        </w:rPr>
      </w:pPr>
    </w:p>
    <w:p w:rsidR="00742FF7" w:rsidRPr="002C6F8D" w:rsidRDefault="002C6F8D" w:rsidP="002C6F8D">
      <w:pPr>
        <w:rPr>
          <w:rFonts w:ascii="Arial" w:hAnsi="Arial" w:cs="Arial"/>
        </w:rPr>
      </w:pPr>
      <w:r>
        <w:rPr>
          <w:rFonts w:ascii="Arial" w:hAnsi="Arial" w:cs="Arial"/>
        </w:rPr>
        <w:t>During the course you will attend a variety of placements which will broaden your knowledge of the health and social care sector.  Placements include Special Needs schools, dementia day care settings, residential homes for the elderly as well as others.  Excellent attendance and punctuality is imperative on this course.  You will attend placement one day each week.</w:t>
      </w:r>
    </w:p>
    <w:sectPr w:rsidR="00742FF7" w:rsidRPr="002C6F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F7"/>
    <w:rsid w:val="001631A7"/>
    <w:rsid w:val="002C6F8D"/>
    <w:rsid w:val="003F3D96"/>
    <w:rsid w:val="00562B50"/>
    <w:rsid w:val="00742FF7"/>
    <w:rsid w:val="008B64B9"/>
    <w:rsid w:val="00A80DFC"/>
    <w:rsid w:val="00BD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F1B50"/>
  <w15:chartTrackingRefBased/>
  <w15:docId w15:val="{D81A13F5-61F0-4C44-A698-67BFFA94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C653B7F9</Template>
  <TotalTime>6</TotalTime>
  <Pages>1</Pages>
  <Words>214</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 Richardson Community School</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 (EVS)</dc:creator>
  <cp:keywords/>
  <dc:description/>
  <cp:lastModifiedBy>QUAIL, H (QUA)</cp:lastModifiedBy>
  <cp:revision>3</cp:revision>
  <dcterms:created xsi:type="dcterms:W3CDTF">2018-06-29T14:44:00Z</dcterms:created>
  <dcterms:modified xsi:type="dcterms:W3CDTF">2018-06-29T14:50:00Z</dcterms:modified>
</cp:coreProperties>
</file>